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0C713" w14:textId="66945CAA" w:rsidR="00A644C7" w:rsidRDefault="00A644C7" w:rsidP="00A644C7">
      <w:pPr>
        <w:pStyle w:val="a5"/>
        <w:rPr>
          <w:rFonts w:hint="eastAsia"/>
        </w:rPr>
      </w:pPr>
      <w:r>
        <w:t>基于RT-DETR的病理图像癌细胞检测方法</w:t>
      </w:r>
    </w:p>
    <w:p w14:paraId="4510250B" w14:textId="676F3E98" w:rsidR="00A644C7" w:rsidRDefault="00A644C7" w:rsidP="00A644C7">
      <w:pPr>
        <w:ind w:firstLine="440"/>
        <w:rPr>
          <w:rFonts w:hint="eastAsia"/>
        </w:rPr>
      </w:pPr>
      <w:r>
        <w:t>病理图像往往具有尺寸庞大、癌细胞形态多样、背景复杂等特点，这些因素给自动检测带来了巨大挑战。针对这些问题，</w:t>
      </w:r>
      <w:r w:rsidR="00AD5251">
        <w:rPr>
          <w:rFonts w:hint="eastAsia"/>
        </w:rPr>
        <w:t>我们</w:t>
      </w:r>
      <w:r>
        <w:t>基于先进的RT-DETR（Real-Time Detection Transformer）模型，结合创新的图像分块策略，开发了一种高效准确的癌细胞检测方法。</w:t>
      </w:r>
    </w:p>
    <w:p w14:paraId="53BC90C5" w14:textId="58BB4E0B" w:rsidR="00A644C7" w:rsidRDefault="00A644C7" w:rsidP="00A644C7">
      <w:pPr>
        <w:ind w:firstLine="440"/>
        <w:rPr>
          <w:rFonts w:hint="eastAsia"/>
        </w:rPr>
      </w:pPr>
      <w:r>
        <w:t>RT-DETR作为新一代目标检测模型，在保持了Transformer出色的特征提取能力的同时，通过一系列创新设计显著提升了检测效率。其核心优势在于采用了轻量级的Vision Transformer结构进行特征提取，通过多尺度特征融合有效捕获图像的细节和全局信息。同时，模型创新性地引入了并行解码机制和优化的查询设计，不仅大幅提升了推理速度，还能更好地适应不同尺度目标的检测需求。这些特性使RT-DETR非常适合处理病理图像中形态多样的癌细胞检测任务。</w:t>
      </w:r>
    </w:p>
    <w:p w14:paraId="2B1D01C1" w14:textId="41702FA1" w:rsidR="00A644C7" w:rsidRDefault="00A644C7" w:rsidP="00A644C7">
      <w:pPr>
        <w:ind w:firstLine="440"/>
        <w:rPr>
          <w:rFonts w:hint="eastAsia"/>
        </w:rPr>
      </w:pPr>
      <w:r>
        <w:t>在实际应用中，注意到原始病理图像动辄达到5440×3648像素的超大尺寸，这远超常规图像处理的范围。直接处理如此大的图像不仅计算开销巨大，而且容易造成细节信息的丢失。为此，我们设计了一套基于滑动窗口的分块处理方案。在训练阶段，我们将原始图像切分成640×640大小的图像块，相邻块之间采用320像素的重叠步长，这种策略既保证了计算效率，又能有效防止目标被分割导致的信息丢失。</w:t>
      </w:r>
      <w:r w:rsidR="00ED1A2A">
        <w:rPr>
          <w:rFonts w:hint="eastAsia"/>
        </w:rPr>
        <w:t>同时</w:t>
      </w:r>
      <w:r>
        <w:t>对于每个图像块，进行了标注框的坐标转换</w:t>
      </w:r>
      <w:r w:rsidR="00326F0A">
        <w:rPr>
          <w:rFonts w:hint="eastAsia"/>
        </w:rPr>
        <w:t>，确保坐标的正确性。</w:t>
      </w:r>
    </w:p>
    <w:p w14:paraId="43E08534" w14:textId="661BAFE6" w:rsidR="007C05DD" w:rsidRDefault="007C05DD" w:rsidP="007C05DD">
      <w:pPr>
        <w:ind w:firstLine="440"/>
      </w:pPr>
      <w:r>
        <w:t>在预测阶段，采用与训练时相同的分块策略对待检测图像进行处理。由于采用分块检测的方式，同一个癌细胞可能在多个重叠的图像块中被重复检测，因此需要设计完善的后处理流程来整合这些检测结果。我们的后处理流程包含三个关键步骤：首先，通过设置合理的置信度阈值过滤掉低质量的检测框；其次，分析并处理所有重叠的检测框，包括图像块</w:t>
      </w:r>
      <w:r>
        <w:rPr>
          <w:rFonts w:hint="eastAsia"/>
        </w:rPr>
        <w:t>和</w:t>
      </w:r>
      <w:r>
        <w:t>边界的重叠情况，还</w:t>
      </w:r>
      <w:r>
        <w:rPr>
          <w:rFonts w:hint="eastAsia"/>
        </w:rPr>
        <w:t>有</w:t>
      </w:r>
      <w:r>
        <w:t>图像范围内的重叠框。对于重叠区域，我们采用基于覆盖率的过滤策略，如果一个较小的检测框被较大的检测框覆盖超过预设阈值（例如70%），则认为它们可能是对同一个目标的重复检测，此时保留面积较大的检测框。最后，使用改进的非极大值抑制（NMS）算法进一步合并相近的检测框，确保最终的检测结果不会出现重复。这套后处理流程能够有效处理分块检测带来的重叠问题，保证检测结果的准确性和可靠性。</w:t>
      </w:r>
    </w:p>
    <w:p w14:paraId="190CA36B" w14:textId="5CFF294E" w:rsidR="00A644C7" w:rsidRDefault="00A644C7" w:rsidP="007C05DD">
      <w:pPr>
        <w:ind w:firstLine="440"/>
        <w:rPr>
          <w:rFonts w:hint="eastAsia"/>
        </w:rPr>
      </w:pPr>
      <w:r>
        <w:t>在数据集构建方面，收集了由专业医生精心标注的大规模病理图像数据。数据集包含499张确诊含有癌细胞的阳性样本和504张确认不含癌细胞的阴性对照。按照约8:1:1的比例将数据集划分为训练集、验证集和测试集，确保了数据的平衡性和代表性。具体而言，阳性样本中399张用于训练，各50张用于验证和测试；阴性对照中404张用于训练，同样各50张用于验证和测试。</w:t>
      </w:r>
    </w:p>
    <w:p w14:paraId="57A3AD40" w14:textId="06B21102" w:rsidR="00A644C7" w:rsidRDefault="00A644C7" w:rsidP="00A644C7">
      <w:pPr>
        <w:ind w:firstLine="440"/>
        <w:rPr>
          <w:rFonts w:hint="eastAsia"/>
        </w:rPr>
      </w:pPr>
      <w:r>
        <w:t>在训练过程中，采用了RT-DETR-X作为基础模型，这个版本在特征提取能力和计算效率上都表现出色。经过反复实验和优化，我们最终确定了一套高效的训练方案：将输入图像统一调整为640×640大小，批次大小设为16以平衡训练效率和稳定性，</w:t>
      </w:r>
      <w:r>
        <w:lastRenderedPageBreak/>
        <w:t>训练持续240轮以确保充分收敛。同时，我们充分利用了预训练权重来加速模型收敛，并通过动态批次采样确保正负样本的合理比例。</w:t>
      </w:r>
    </w:p>
    <w:p w14:paraId="0CC40641" w14:textId="31A449DA" w:rsidR="00A938BE" w:rsidRDefault="00A644C7" w:rsidP="00A644C7">
      <w:pPr>
        <w:ind w:firstLine="440"/>
      </w:pPr>
      <w:r>
        <w:t>经过充分的训练和测试</w:t>
      </w:r>
      <w:r>
        <w:rPr>
          <w:rFonts w:hint="eastAsia"/>
        </w:rPr>
        <w:t>，</w:t>
      </w:r>
      <w:r>
        <w:t>方法在图像级别的评估中取得了令人满意的成果。在测试集上，模型达到了0.98的精确率和0.96的召回率，这意味着检测结果具有极高的可靠性。</w:t>
      </w:r>
    </w:p>
    <w:sectPr w:rsidR="00A938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8BE"/>
    <w:rsid w:val="00326F0A"/>
    <w:rsid w:val="00562495"/>
    <w:rsid w:val="00651216"/>
    <w:rsid w:val="00791EC2"/>
    <w:rsid w:val="007C05DD"/>
    <w:rsid w:val="0093329F"/>
    <w:rsid w:val="009A05E8"/>
    <w:rsid w:val="00A644C7"/>
    <w:rsid w:val="00A938BE"/>
    <w:rsid w:val="00AD5251"/>
    <w:rsid w:val="00ED1A2A"/>
    <w:rsid w:val="00F4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F14942"/>
  <w15:chartTrackingRefBased/>
  <w15:docId w15:val="{BB1385D8-EDCE-1C4F-87AE-5DF187E03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44C7"/>
    <w:pPr>
      <w:widowControl w:val="0"/>
      <w:ind w:firstLineChars="200" w:firstLine="200"/>
    </w:pPr>
  </w:style>
  <w:style w:type="paragraph" w:styleId="1">
    <w:name w:val="heading 1"/>
    <w:basedOn w:val="a"/>
    <w:next w:val="a"/>
    <w:link w:val="10"/>
    <w:uiPriority w:val="9"/>
    <w:qFormat/>
    <w:rsid w:val="00A938B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38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38B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38B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38B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38BE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38B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38B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38B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938B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938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938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938B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938B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938B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938B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938B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938B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938B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938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938B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938B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938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938B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938B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938B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938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938B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938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wenxin gong</dc:creator>
  <cp:keywords/>
  <dc:description/>
  <cp:lastModifiedBy>wenxin gong</cp:lastModifiedBy>
  <cp:revision>12</cp:revision>
  <dcterms:created xsi:type="dcterms:W3CDTF">2025-01-19T15:46:00Z</dcterms:created>
  <dcterms:modified xsi:type="dcterms:W3CDTF">2025-01-19T16:00:00Z</dcterms:modified>
</cp:coreProperties>
</file>